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768DEE85"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A30758">
        <w:rPr>
          <w:rFonts w:eastAsia="SimSun"/>
          <w:lang w:eastAsia="zh-CN"/>
        </w:rPr>
        <w:t>4</w:t>
      </w:r>
      <w:r w:rsidR="00B841C3">
        <w:rPr>
          <w:rFonts w:eastAsia="SimSun"/>
          <w:lang w:eastAsia="zh-CN"/>
        </w:rPr>
        <w:t>-e</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Pr="00E01EBB">
        <w:t>R</w:t>
      </w:r>
      <w:r w:rsidRPr="002725A3">
        <w:t>4-</w:t>
      </w:r>
      <w:r w:rsidR="00A30758">
        <w:t>20</w:t>
      </w:r>
      <w:r w:rsidR="00B841C3">
        <w:t>01433</w:t>
      </w:r>
    </w:p>
    <w:p w14:paraId="35BF833C" w14:textId="3FD61087" w:rsidR="00DF018A" w:rsidRPr="008E18F2" w:rsidRDefault="00B841C3" w:rsidP="00DF018A">
      <w:pPr>
        <w:pStyle w:val="a"/>
        <w:rPr>
          <w:rFonts w:eastAsia="SimSun"/>
          <w:lang w:eastAsia="zh-CN"/>
        </w:rPr>
      </w:pPr>
      <w:r>
        <w:rPr>
          <w:rFonts w:cs="Arial"/>
        </w:rPr>
        <w:t>Electronic Meeting</w:t>
      </w:r>
      <w:r w:rsidR="00AD15D4">
        <w:t xml:space="preserve">, </w:t>
      </w:r>
      <w:r w:rsidR="00A30758">
        <w:rPr>
          <w:rFonts w:cs="Arial"/>
        </w:rPr>
        <w:t>24</w:t>
      </w:r>
      <w:r w:rsidR="00DF018A" w:rsidRPr="00084769">
        <w:rPr>
          <w:rFonts w:cs="Arial"/>
        </w:rPr>
        <w:t xml:space="preserve"> </w:t>
      </w:r>
      <w:r>
        <w:rPr>
          <w:rFonts w:cs="Arial"/>
        </w:rPr>
        <w:t xml:space="preserve">February </w:t>
      </w:r>
      <w:r w:rsidR="00DF018A" w:rsidRPr="00084769">
        <w:rPr>
          <w:rFonts w:cs="Arial"/>
        </w:rPr>
        <w:t xml:space="preserve">– </w:t>
      </w:r>
      <w:r>
        <w:rPr>
          <w:rFonts w:cs="Arial"/>
        </w:rPr>
        <w:t>6</w:t>
      </w:r>
      <w:r w:rsidR="00DF018A">
        <w:rPr>
          <w:rFonts w:cs="Arial"/>
        </w:rPr>
        <w:t xml:space="preserve"> </w:t>
      </w:r>
      <w:r>
        <w:rPr>
          <w:rFonts w:cs="Arial"/>
        </w:rPr>
        <w:t>March</w:t>
      </w:r>
      <w:bookmarkStart w:id="2" w:name="_GoBack"/>
      <w:bookmarkEnd w:id="2"/>
      <w:r w:rsidR="00DF018A">
        <w:t>, 20</w:t>
      </w:r>
      <w:r w:rsidR="00A30758">
        <w:t>20</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217FED41"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3A7CA9">
        <w:rPr>
          <w:sz w:val="22"/>
        </w:rPr>
        <w:t>Switching time requirements between IAB-MT and IAB-DU</w:t>
      </w:r>
    </w:p>
    <w:p w14:paraId="38BCE621" w14:textId="3E616EFD"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3A7CA9">
        <w:rPr>
          <w:sz w:val="22"/>
          <w:lang w:val="en-US"/>
        </w:rPr>
        <w:t>8.5.4.2.1</w:t>
      </w:r>
    </w:p>
    <w:p w14:paraId="41D55FE6" w14:textId="37A7C911"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E02AD5" w:rsidRPr="00DA21EC">
        <w:rPr>
          <w:sz w:val="22"/>
        </w:rPr>
        <w:t>Approval</w:t>
      </w:r>
    </w:p>
    <w:p w14:paraId="31CCC137" w14:textId="77777777" w:rsidR="0043450E" w:rsidRDefault="0043450E" w:rsidP="0043450E">
      <w:pPr>
        <w:pStyle w:val="Heading1"/>
      </w:pPr>
      <w:r>
        <w:t>1</w:t>
      </w:r>
      <w:r>
        <w:tab/>
        <w:t>Introduction</w:t>
      </w:r>
    </w:p>
    <w:p w14:paraId="781A2A01" w14:textId="244FBD75" w:rsidR="00CF249F" w:rsidRDefault="00F47649" w:rsidP="000B5E8E">
      <w:r>
        <w:rPr>
          <w:rFonts w:eastAsia="Batang"/>
          <w:lang w:eastAsia="ko-KR"/>
        </w:rPr>
        <w:t xml:space="preserve">Part of the Integrated </w:t>
      </w:r>
      <w:r w:rsidR="00BA3DB3">
        <w:rPr>
          <w:rFonts w:eastAsia="Batang"/>
          <w:lang w:eastAsia="ko-KR"/>
        </w:rPr>
        <w:t>A</w:t>
      </w:r>
      <w:r>
        <w:rPr>
          <w:rFonts w:eastAsia="Batang"/>
          <w:lang w:eastAsia="ko-KR"/>
        </w:rPr>
        <w:t>ccess and Backhaul work item is defining the RF requirements</w:t>
      </w:r>
      <w:r w:rsidR="001779BE">
        <w:rPr>
          <w:rFonts w:eastAsia="Batang"/>
          <w:lang w:eastAsia="ko-KR"/>
        </w:rPr>
        <w:t>.</w:t>
      </w:r>
      <w:r>
        <w:rPr>
          <w:rFonts w:eastAsia="Batang"/>
          <w:lang w:eastAsia="ko-KR"/>
        </w:rPr>
        <w:t xml:space="preserve"> In this contribution we </w:t>
      </w:r>
      <w:r w:rsidR="001D6F67">
        <w:rPr>
          <w:rFonts w:eastAsia="Batang"/>
          <w:lang w:eastAsia="ko-KR"/>
        </w:rPr>
        <w:t>discuss the switching time between IAB-DU and IAB-MT</w:t>
      </w:r>
      <w:r w:rsidR="001779BE">
        <w:rPr>
          <w:rFonts w:eastAsia="Batang"/>
          <w:lang w:eastAsia="ko-KR"/>
        </w:rPr>
        <w:t>.</w:t>
      </w:r>
      <w:r w:rsidR="00566191">
        <w:rPr>
          <w:rFonts w:eastAsia="Batang"/>
          <w:lang w:eastAsia="ko-KR"/>
        </w:rPr>
        <w:t xml:space="preserve"> </w:t>
      </w:r>
    </w:p>
    <w:p w14:paraId="1ECA57B6" w14:textId="77777777" w:rsidR="001C3296" w:rsidRDefault="001C3296" w:rsidP="001C3296">
      <w:pPr>
        <w:pStyle w:val="Heading1"/>
      </w:pPr>
      <w:r>
        <w:t>2</w:t>
      </w:r>
      <w:r>
        <w:tab/>
        <w:t>Discussion</w:t>
      </w:r>
    </w:p>
    <w:p w14:paraId="28819DC9" w14:textId="766481AA" w:rsidR="001D6F67" w:rsidRDefault="001D6F67" w:rsidP="001D6F67">
      <w:r>
        <w:t xml:space="preserve">In </w:t>
      </w:r>
      <w:r w:rsidR="001779BE">
        <w:t>RAN4#93</w:t>
      </w:r>
      <w:r>
        <w:t xml:space="preserve"> a way forward on switching time for IAB was agreed in [1], </w:t>
      </w:r>
      <w:r w:rsidR="00D309FF">
        <w:t>postponing the decision on whether the switching latency requirement for switching between IAB-MT and IAB-DU is defined. When looking how other working groups have proceed with the switching, following agreements can be found from RAN1:</w:t>
      </w:r>
    </w:p>
    <w:p w14:paraId="08CF5012" w14:textId="48D631CA" w:rsidR="00D309FF" w:rsidRPr="00D309FF" w:rsidRDefault="00D309FF" w:rsidP="00D309FF">
      <w:pPr>
        <w:ind w:left="284" w:firstLine="284"/>
        <w:rPr>
          <w:b/>
          <w:bCs/>
        </w:rPr>
      </w:pPr>
      <w:r w:rsidRPr="00D309FF">
        <w:t>Agreements</w:t>
      </w:r>
      <w:r w:rsidRPr="00D309FF">
        <w:rPr>
          <w:b/>
          <w:bCs/>
        </w:rPr>
        <w:t xml:space="preserve">: </w:t>
      </w:r>
      <w:r w:rsidRPr="00D309FF">
        <w:t>(</w:t>
      </w:r>
      <w:r w:rsidRPr="00D309FF">
        <w:rPr>
          <w:rFonts w:eastAsia="MS Mincho"/>
          <w:lang w:eastAsia="ja-JP"/>
        </w:rPr>
        <w:t>RAN1#98bis Chongqing)</w:t>
      </w:r>
    </w:p>
    <w:p w14:paraId="7B1AAF2C" w14:textId="77777777" w:rsidR="00D309FF" w:rsidRPr="00D309FF" w:rsidRDefault="00D309FF" w:rsidP="00D309FF">
      <w:pPr>
        <w:overflowPunct/>
        <w:autoSpaceDE/>
        <w:autoSpaceDN/>
        <w:adjustRightInd/>
        <w:spacing w:before="60" w:after="60" w:line="288" w:lineRule="auto"/>
        <w:ind w:left="568"/>
        <w:textAlignment w:val="auto"/>
        <w:rPr>
          <w:lang w:val="en-US"/>
        </w:rPr>
      </w:pPr>
      <w:r w:rsidRPr="00D309FF">
        <w:rPr>
          <w:lang w:val="en-US"/>
        </w:rPr>
        <w:t xml:space="preserve">A parent IAB node can be made aware of the number of symbols Ng the child IAB node would like the parent IAB node not to use at the edge (beginning or end) of a slot when there is a transition between child MT and child DU. </w:t>
      </w:r>
      <w:bookmarkStart w:id="3" w:name="_Hlk22168000"/>
      <w:r w:rsidRPr="00D309FF">
        <w:rPr>
          <w:lang w:val="en-US"/>
        </w:rPr>
        <w:t>Separately or additionally, the child IAB node can be made aware of the number of guard symbols that the parent IAB node will provide.</w:t>
      </w:r>
      <w:bookmarkEnd w:id="3"/>
    </w:p>
    <w:p w14:paraId="49BF365A" w14:textId="77777777" w:rsidR="00D309FF" w:rsidRPr="00D309FF" w:rsidRDefault="00D309FF" w:rsidP="00D309FF">
      <w:pPr>
        <w:numPr>
          <w:ilvl w:val="0"/>
          <w:numId w:val="14"/>
        </w:numPr>
        <w:overflowPunct/>
        <w:autoSpaceDE/>
        <w:autoSpaceDN/>
        <w:adjustRightInd/>
        <w:spacing w:before="60" w:after="60" w:line="288" w:lineRule="auto"/>
        <w:ind w:left="928"/>
        <w:textAlignment w:val="auto"/>
        <w:rPr>
          <w:lang w:val="en-US"/>
        </w:rPr>
      </w:pPr>
      <w:r w:rsidRPr="00D309FF">
        <w:rPr>
          <w:lang w:val="en-US"/>
        </w:rPr>
        <w:t>Ng can be provided for each of the [8] possible transitions with potential overlap:</w:t>
      </w:r>
    </w:p>
    <w:tbl>
      <w:tblPr>
        <w:tblW w:w="3395" w:type="dxa"/>
        <w:tblInd w:w="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D309FF" w:rsidRPr="00D309FF" w14:paraId="19643ADE" w14:textId="77777777" w:rsidTr="00D309FF">
        <w:tc>
          <w:tcPr>
            <w:tcW w:w="1435" w:type="dxa"/>
            <w:tcBorders>
              <w:top w:val="single" w:sz="12" w:space="0" w:color="auto"/>
              <w:left w:val="single" w:sz="12" w:space="0" w:color="auto"/>
            </w:tcBorders>
            <w:shd w:val="clear" w:color="auto" w:fill="auto"/>
          </w:tcPr>
          <w:p w14:paraId="4794EED7" w14:textId="77777777" w:rsidR="00D309FF" w:rsidRPr="00D309FF" w:rsidRDefault="00D309FF" w:rsidP="00D309FF">
            <w:pPr>
              <w:overflowPunct/>
              <w:autoSpaceDE/>
              <w:autoSpaceDN/>
              <w:adjustRightInd/>
              <w:spacing w:before="60" w:after="60" w:line="288" w:lineRule="auto"/>
              <w:jc w:val="center"/>
              <w:textAlignment w:val="auto"/>
              <w:rPr>
                <w:lang w:val="en-US"/>
              </w:rPr>
            </w:pPr>
            <w:r w:rsidRPr="00D309FF">
              <w:rPr>
                <w:rFonts w:eastAsia="Malgun Gothic"/>
                <w:lang w:eastAsia="ko-KR"/>
              </w:rPr>
              <w:t>MT to DU</w:t>
            </w:r>
          </w:p>
        </w:tc>
        <w:tc>
          <w:tcPr>
            <w:tcW w:w="990" w:type="dxa"/>
            <w:tcBorders>
              <w:top w:val="single" w:sz="12" w:space="0" w:color="auto"/>
            </w:tcBorders>
            <w:shd w:val="clear" w:color="auto" w:fill="auto"/>
          </w:tcPr>
          <w:p w14:paraId="379B8745" w14:textId="77777777" w:rsidR="00D309FF" w:rsidRPr="00D309FF" w:rsidRDefault="00D309FF" w:rsidP="00D309FF">
            <w:pPr>
              <w:overflowPunct/>
              <w:autoSpaceDE/>
              <w:autoSpaceDN/>
              <w:adjustRightInd/>
              <w:spacing w:before="60" w:after="60" w:line="288" w:lineRule="auto"/>
              <w:jc w:val="center"/>
              <w:textAlignment w:val="auto"/>
              <w:rPr>
                <w:lang w:val="en-US"/>
              </w:rPr>
            </w:pPr>
            <w:r w:rsidRPr="00D309FF">
              <w:rPr>
                <w:rFonts w:eastAsia="Malgun Gothic"/>
                <w:lang w:eastAsia="ko-KR"/>
              </w:rPr>
              <w:t>DL Tx</w:t>
            </w:r>
          </w:p>
        </w:tc>
        <w:tc>
          <w:tcPr>
            <w:tcW w:w="970" w:type="dxa"/>
            <w:tcBorders>
              <w:top w:val="single" w:sz="12" w:space="0" w:color="auto"/>
              <w:right w:val="single" w:sz="12" w:space="0" w:color="auto"/>
            </w:tcBorders>
            <w:shd w:val="clear" w:color="auto" w:fill="auto"/>
          </w:tcPr>
          <w:p w14:paraId="64A141BF" w14:textId="77777777" w:rsidR="00D309FF" w:rsidRPr="00D309FF" w:rsidRDefault="00D309FF" w:rsidP="00D309FF">
            <w:pPr>
              <w:overflowPunct/>
              <w:autoSpaceDE/>
              <w:autoSpaceDN/>
              <w:adjustRightInd/>
              <w:spacing w:before="60" w:after="60" w:line="288" w:lineRule="auto"/>
              <w:jc w:val="center"/>
              <w:textAlignment w:val="auto"/>
              <w:rPr>
                <w:lang w:val="en-US"/>
              </w:rPr>
            </w:pPr>
            <w:r w:rsidRPr="00D309FF">
              <w:rPr>
                <w:rFonts w:eastAsia="Malgun Gothic"/>
                <w:lang w:eastAsia="ko-KR"/>
              </w:rPr>
              <w:t>UL Rx</w:t>
            </w:r>
          </w:p>
        </w:tc>
      </w:tr>
      <w:tr w:rsidR="00D309FF" w:rsidRPr="00D309FF" w14:paraId="1D772D7E" w14:textId="77777777" w:rsidTr="00D309FF">
        <w:tc>
          <w:tcPr>
            <w:tcW w:w="1435" w:type="dxa"/>
            <w:tcBorders>
              <w:left w:val="single" w:sz="12" w:space="0" w:color="auto"/>
            </w:tcBorders>
            <w:shd w:val="clear" w:color="auto" w:fill="auto"/>
          </w:tcPr>
          <w:p w14:paraId="35332181" w14:textId="77777777" w:rsidR="00D309FF" w:rsidRPr="00D309FF" w:rsidRDefault="00D309FF" w:rsidP="00D309FF">
            <w:pPr>
              <w:overflowPunct/>
              <w:autoSpaceDE/>
              <w:autoSpaceDN/>
              <w:adjustRightInd/>
              <w:spacing w:before="60" w:after="60" w:line="288" w:lineRule="auto"/>
              <w:jc w:val="center"/>
              <w:textAlignment w:val="auto"/>
              <w:rPr>
                <w:lang w:val="en-US"/>
              </w:rPr>
            </w:pPr>
            <w:r w:rsidRPr="00D309FF">
              <w:rPr>
                <w:rFonts w:eastAsia="Malgun Gothic"/>
                <w:lang w:eastAsia="ko-KR"/>
              </w:rPr>
              <w:t>DL Rx</w:t>
            </w:r>
          </w:p>
        </w:tc>
        <w:tc>
          <w:tcPr>
            <w:tcW w:w="990" w:type="dxa"/>
            <w:shd w:val="clear" w:color="auto" w:fill="auto"/>
          </w:tcPr>
          <w:p w14:paraId="059916F3" w14:textId="77777777" w:rsidR="00D309FF" w:rsidRPr="00D309FF" w:rsidRDefault="00D309FF" w:rsidP="00D309FF">
            <w:pPr>
              <w:overflowPunct/>
              <w:autoSpaceDE/>
              <w:autoSpaceDN/>
              <w:adjustRightInd/>
              <w:spacing w:before="60" w:after="60" w:line="288" w:lineRule="auto"/>
              <w:jc w:val="center"/>
              <w:textAlignment w:val="auto"/>
              <w:rPr>
                <w:lang w:val="en-US"/>
              </w:rPr>
            </w:pPr>
          </w:p>
        </w:tc>
        <w:tc>
          <w:tcPr>
            <w:tcW w:w="970" w:type="dxa"/>
            <w:tcBorders>
              <w:right w:val="single" w:sz="12" w:space="0" w:color="auto"/>
            </w:tcBorders>
            <w:shd w:val="clear" w:color="auto" w:fill="auto"/>
          </w:tcPr>
          <w:p w14:paraId="5D122DE2" w14:textId="77777777" w:rsidR="00D309FF" w:rsidRPr="00D309FF" w:rsidRDefault="00D309FF" w:rsidP="00D309FF">
            <w:pPr>
              <w:overflowPunct/>
              <w:autoSpaceDE/>
              <w:autoSpaceDN/>
              <w:adjustRightInd/>
              <w:spacing w:before="60" w:after="60" w:line="288" w:lineRule="auto"/>
              <w:jc w:val="center"/>
              <w:textAlignment w:val="auto"/>
              <w:rPr>
                <w:lang w:val="en-US"/>
              </w:rPr>
            </w:pPr>
          </w:p>
        </w:tc>
      </w:tr>
      <w:tr w:rsidR="00D309FF" w:rsidRPr="00D309FF" w14:paraId="225AAFAE" w14:textId="77777777" w:rsidTr="00D309FF">
        <w:tc>
          <w:tcPr>
            <w:tcW w:w="1435" w:type="dxa"/>
            <w:tcBorders>
              <w:left w:val="single" w:sz="12" w:space="0" w:color="auto"/>
              <w:bottom w:val="single" w:sz="12" w:space="0" w:color="auto"/>
            </w:tcBorders>
            <w:shd w:val="clear" w:color="auto" w:fill="auto"/>
          </w:tcPr>
          <w:p w14:paraId="0018EDF4" w14:textId="77777777" w:rsidR="00D309FF" w:rsidRPr="00D309FF" w:rsidRDefault="00D309FF" w:rsidP="00D309FF">
            <w:pPr>
              <w:overflowPunct/>
              <w:autoSpaceDE/>
              <w:autoSpaceDN/>
              <w:adjustRightInd/>
              <w:spacing w:before="60" w:after="60" w:line="288" w:lineRule="auto"/>
              <w:jc w:val="center"/>
              <w:textAlignment w:val="auto"/>
              <w:rPr>
                <w:lang w:val="en-US"/>
              </w:rPr>
            </w:pPr>
            <w:r w:rsidRPr="00D309FF">
              <w:rPr>
                <w:rFonts w:eastAsia="Malgun Gothic"/>
                <w:lang w:eastAsia="ko-KR"/>
              </w:rPr>
              <w:t>UL Tx</w:t>
            </w:r>
          </w:p>
        </w:tc>
        <w:tc>
          <w:tcPr>
            <w:tcW w:w="990" w:type="dxa"/>
            <w:tcBorders>
              <w:bottom w:val="single" w:sz="12" w:space="0" w:color="auto"/>
            </w:tcBorders>
            <w:shd w:val="clear" w:color="auto" w:fill="auto"/>
          </w:tcPr>
          <w:p w14:paraId="576D5F70" w14:textId="77777777" w:rsidR="00D309FF" w:rsidRPr="00D309FF" w:rsidRDefault="00D309FF" w:rsidP="00D309FF">
            <w:pPr>
              <w:overflowPunct/>
              <w:autoSpaceDE/>
              <w:autoSpaceDN/>
              <w:adjustRightInd/>
              <w:spacing w:before="60" w:after="60" w:line="288" w:lineRule="auto"/>
              <w:jc w:val="center"/>
              <w:textAlignment w:val="auto"/>
              <w:rPr>
                <w:lang w:val="en-US"/>
              </w:rPr>
            </w:pPr>
          </w:p>
        </w:tc>
        <w:tc>
          <w:tcPr>
            <w:tcW w:w="970" w:type="dxa"/>
            <w:tcBorders>
              <w:bottom w:val="single" w:sz="12" w:space="0" w:color="auto"/>
              <w:right w:val="single" w:sz="12" w:space="0" w:color="auto"/>
            </w:tcBorders>
            <w:shd w:val="clear" w:color="auto" w:fill="auto"/>
          </w:tcPr>
          <w:p w14:paraId="19F33591" w14:textId="77777777" w:rsidR="00D309FF" w:rsidRPr="00D309FF" w:rsidRDefault="00D309FF" w:rsidP="00D309FF">
            <w:pPr>
              <w:overflowPunct/>
              <w:autoSpaceDE/>
              <w:autoSpaceDN/>
              <w:adjustRightInd/>
              <w:spacing w:before="60" w:after="60" w:line="288" w:lineRule="auto"/>
              <w:jc w:val="center"/>
              <w:textAlignment w:val="auto"/>
              <w:rPr>
                <w:lang w:val="en-US"/>
              </w:rPr>
            </w:pPr>
          </w:p>
        </w:tc>
      </w:tr>
      <w:tr w:rsidR="00D309FF" w:rsidRPr="00D309FF" w14:paraId="779BE21E" w14:textId="77777777" w:rsidTr="00D309FF">
        <w:tc>
          <w:tcPr>
            <w:tcW w:w="1435" w:type="dxa"/>
            <w:tcBorders>
              <w:top w:val="single" w:sz="12" w:space="0" w:color="auto"/>
              <w:left w:val="single" w:sz="12" w:space="0" w:color="auto"/>
            </w:tcBorders>
            <w:shd w:val="clear" w:color="auto" w:fill="auto"/>
          </w:tcPr>
          <w:p w14:paraId="0C125BF0" w14:textId="77777777" w:rsidR="00D309FF" w:rsidRPr="00D309FF" w:rsidRDefault="00D309FF" w:rsidP="00D309FF">
            <w:pPr>
              <w:overflowPunct/>
              <w:autoSpaceDE/>
              <w:autoSpaceDN/>
              <w:adjustRightInd/>
              <w:spacing w:before="60" w:after="60" w:line="288" w:lineRule="auto"/>
              <w:jc w:val="center"/>
              <w:textAlignment w:val="auto"/>
              <w:rPr>
                <w:lang w:val="en-US"/>
              </w:rPr>
            </w:pPr>
            <w:r w:rsidRPr="00D309FF">
              <w:rPr>
                <w:rFonts w:eastAsia="Malgun Gothic"/>
                <w:lang w:eastAsia="ko-KR"/>
              </w:rPr>
              <w:t>DU to MT</w:t>
            </w:r>
          </w:p>
        </w:tc>
        <w:tc>
          <w:tcPr>
            <w:tcW w:w="990" w:type="dxa"/>
            <w:tcBorders>
              <w:top w:val="single" w:sz="12" w:space="0" w:color="auto"/>
            </w:tcBorders>
            <w:shd w:val="clear" w:color="auto" w:fill="auto"/>
          </w:tcPr>
          <w:p w14:paraId="375DC2BB" w14:textId="77777777" w:rsidR="00D309FF" w:rsidRPr="00D309FF" w:rsidRDefault="00D309FF" w:rsidP="00D309FF">
            <w:pPr>
              <w:overflowPunct/>
              <w:autoSpaceDE/>
              <w:autoSpaceDN/>
              <w:adjustRightInd/>
              <w:spacing w:before="60" w:after="60" w:line="288" w:lineRule="auto"/>
              <w:jc w:val="center"/>
              <w:textAlignment w:val="auto"/>
              <w:rPr>
                <w:lang w:val="en-US"/>
              </w:rPr>
            </w:pPr>
            <w:r w:rsidRPr="00D309FF">
              <w:rPr>
                <w:rFonts w:eastAsia="Malgun Gothic"/>
                <w:lang w:eastAsia="ko-KR"/>
              </w:rPr>
              <w:t>DL Rx</w:t>
            </w:r>
          </w:p>
        </w:tc>
        <w:tc>
          <w:tcPr>
            <w:tcW w:w="970" w:type="dxa"/>
            <w:tcBorders>
              <w:top w:val="single" w:sz="12" w:space="0" w:color="auto"/>
              <w:right w:val="single" w:sz="12" w:space="0" w:color="auto"/>
            </w:tcBorders>
            <w:shd w:val="clear" w:color="auto" w:fill="auto"/>
          </w:tcPr>
          <w:p w14:paraId="230450C9" w14:textId="77777777" w:rsidR="00D309FF" w:rsidRPr="00D309FF" w:rsidRDefault="00D309FF" w:rsidP="00D309FF">
            <w:pPr>
              <w:overflowPunct/>
              <w:autoSpaceDE/>
              <w:autoSpaceDN/>
              <w:adjustRightInd/>
              <w:spacing w:before="60" w:after="60" w:line="288" w:lineRule="auto"/>
              <w:jc w:val="center"/>
              <w:textAlignment w:val="auto"/>
              <w:rPr>
                <w:lang w:val="en-US"/>
              </w:rPr>
            </w:pPr>
            <w:r w:rsidRPr="00D309FF">
              <w:rPr>
                <w:rFonts w:eastAsia="Malgun Gothic"/>
                <w:lang w:eastAsia="ko-KR"/>
              </w:rPr>
              <w:t>UL Tx</w:t>
            </w:r>
          </w:p>
        </w:tc>
      </w:tr>
      <w:tr w:rsidR="00D309FF" w:rsidRPr="00D309FF" w14:paraId="433B866D" w14:textId="77777777" w:rsidTr="00D309FF">
        <w:tc>
          <w:tcPr>
            <w:tcW w:w="1435" w:type="dxa"/>
            <w:tcBorders>
              <w:left w:val="single" w:sz="12" w:space="0" w:color="auto"/>
            </w:tcBorders>
            <w:shd w:val="clear" w:color="auto" w:fill="auto"/>
          </w:tcPr>
          <w:p w14:paraId="323E9475" w14:textId="77777777" w:rsidR="00D309FF" w:rsidRPr="00D309FF" w:rsidRDefault="00D309FF" w:rsidP="00D309FF">
            <w:pPr>
              <w:overflowPunct/>
              <w:autoSpaceDE/>
              <w:autoSpaceDN/>
              <w:adjustRightInd/>
              <w:spacing w:before="60" w:after="60" w:line="288" w:lineRule="auto"/>
              <w:jc w:val="center"/>
              <w:textAlignment w:val="auto"/>
              <w:rPr>
                <w:lang w:val="en-US"/>
              </w:rPr>
            </w:pPr>
            <w:r w:rsidRPr="00D309FF">
              <w:rPr>
                <w:rFonts w:eastAsia="Malgun Gothic"/>
                <w:lang w:eastAsia="ko-KR"/>
              </w:rPr>
              <w:t>DL Tx</w:t>
            </w:r>
          </w:p>
        </w:tc>
        <w:tc>
          <w:tcPr>
            <w:tcW w:w="990" w:type="dxa"/>
            <w:shd w:val="clear" w:color="auto" w:fill="auto"/>
          </w:tcPr>
          <w:p w14:paraId="25D21436" w14:textId="77777777" w:rsidR="00D309FF" w:rsidRPr="00D309FF" w:rsidRDefault="00D309FF" w:rsidP="00D309FF">
            <w:pPr>
              <w:overflowPunct/>
              <w:autoSpaceDE/>
              <w:autoSpaceDN/>
              <w:adjustRightInd/>
              <w:spacing w:before="60" w:after="60" w:line="288" w:lineRule="auto"/>
              <w:jc w:val="center"/>
              <w:textAlignment w:val="auto"/>
              <w:rPr>
                <w:lang w:val="en-US"/>
              </w:rPr>
            </w:pPr>
          </w:p>
        </w:tc>
        <w:tc>
          <w:tcPr>
            <w:tcW w:w="970" w:type="dxa"/>
            <w:tcBorders>
              <w:right w:val="single" w:sz="12" w:space="0" w:color="auto"/>
            </w:tcBorders>
            <w:shd w:val="clear" w:color="auto" w:fill="auto"/>
          </w:tcPr>
          <w:p w14:paraId="075E2EF1" w14:textId="77777777" w:rsidR="00D309FF" w:rsidRPr="00D309FF" w:rsidRDefault="00D309FF" w:rsidP="00D309FF">
            <w:pPr>
              <w:overflowPunct/>
              <w:autoSpaceDE/>
              <w:autoSpaceDN/>
              <w:adjustRightInd/>
              <w:spacing w:before="60" w:after="60" w:line="288" w:lineRule="auto"/>
              <w:jc w:val="center"/>
              <w:textAlignment w:val="auto"/>
              <w:rPr>
                <w:lang w:val="en-US"/>
              </w:rPr>
            </w:pPr>
          </w:p>
        </w:tc>
      </w:tr>
      <w:tr w:rsidR="00D309FF" w:rsidRPr="00D309FF" w14:paraId="4E9AA176" w14:textId="77777777" w:rsidTr="00D309FF">
        <w:tc>
          <w:tcPr>
            <w:tcW w:w="1435" w:type="dxa"/>
            <w:tcBorders>
              <w:left w:val="single" w:sz="12" w:space="0" w:color="auto"/>
              <w:bottom w:val="single" w:sz="12" w:space="0" w:color="auto"/>
            </w:tcBorders>
            <w:shd w:val="clear" w:color="auto" w:fill="auto"/>
          </w:tcPr>
          <w:p w14:paraId="5DA0EA3F" w14:textId="77777777" w:rsidR="00D309FF" w:rsidRPr="00D309FF" w:rsidRDefault="00D309FF" w:rsidP="00D309FF">
            <w:pPr>
              <w:overflowPunct/>
              <w:autoSpaceDE/>
              <w:autoSpaceDN/>
              <w:adjustRightInd/>
              <w:spacing w:before="60" w:after="60" w:line="288" w:lineRule="auto"/>
              <w:jc w:val="center"/>
              <w:textAlignment w:val="auto"/>
              <w:rPr>
                <w:lang w:val="en-US"/>
              </w:rPr>
            </w:pPr>
            <w:r w:rsidRPr="00D309FF">
              <w:rPr>
                <w:rFonts w:eastAsia="Malgun Gothic"/>
                <w:lang w:eastAsia="ko-KR"/>
              </w:rPr>
              <w:t>UL Rx</w:t>
            </w:r>
          </w:p>
        </w:tc>
        <w:tc>
          <w:tcPr>
            <w:tcW w:w="990" w:type="dxa"/>
            <w:tcBorders>
              <w:bottom w:val="single" w:sz="12" w:space="0" w:color="auto"/>
            </w:tcBorders>
            <w:shd w:val="clear" w:color="auto" w:fill="auto"/>
          </w:tcPr>
          <w:p w14:paraId="01476D40" w14:textId="77777777" w:rsidR="00D309FF" w:rsidRPr="00D309FF" w:rsidRDefault="00D309FF" w:rsidP="00D309FF">
            <w:pPr>
              <w:overflowPunct/>
              <w:autoSpaceDE/>
              <w:autoSpaceDN/>
              <w:adjustRightInd/>
              <w:spacing w:before="60" w:after="60" w:line="288" w:lineRule="auto"/>
              <w:jc w:val="center"/>
              <w:textAlignment w:val="auto"/>
              <w:rPr>
                <w:lang w:val="en-US"/>
              </w:rPr>
            </w:pPr>
          </w:p>
        </w:tc>
        <w:tc>
          <w:tcPr>
            <w:tcW w:w="970" w:type="dxa"/>
            <w:tcBorders>
              <w:bottom w:val="single" w:sz="12" w:space="0" w:color="auto"/>
              <w:right w:val="single" w:sz="12" w:space="0" w:color="auto"/>
            </w:tcBorders>
            <w:shd w:val="clear" w:color="auto" w:fill="auto"/>
          </w:tcPr>
          <w:p w14:paraId="2C36D51E" w14:textId="77777777" w:rsidR="00D309FF" w:rsidRPr="00D309FF" w:rsidRDefault="00D309FF" w:rsidP="00D309FF">
            <w:pPr>
              <w:overflowPunct/>
              <w:autoSpaceDE/>
              <w:autoSpaceDN/>
              <w:adjustRightInd/>
              <w:spacing w:before="60" w:after="60" w:line="288" w:lineRule="auto"/>
              <w:jc w:val="center"/>
              <w:textAlignment w:val="auto"/>
              <w:rPr>
                <w:lang w:val="en-US"/>
              </w:rPr>
            </w:pPr>
          </w:p>
        </w:tc>
      </w:tr>
    </w:tbl>
    <w:p w14:paraId="1D310EBD" w14:textId="77777777" w:rsidR="00D309FF" w:rsidRPr="00D309FF" w:rsidRDefault="00D309FF" w:rsidP="00D309FF">
      <w:pPr>
        <w:numPr>
          <w:ilvl w:val="0"/>
          <w:numId w:val="14"/>
        </w:numPr>
        <w:overflowPunct/>
        <w:autoSpaceDE/>
        <w:autoSpaceDN/>
        <w:adjustRightInd/>
        <w:spacing w:before="60" w:after="60" w:line="288" w:lineRule="auto"/>
        <w:ind w:left="928"/>
        <w:textAlignment w:val="auto"/>
        <w:rPr>
          <w:lang w:val="en-US"/>
        </w:rPr>
      </w:pPr>
      <w:r w:rsidRPr="00D309FF">
        <w:rPr>
          <w:lang w:val="en-US"/>
        </w:rPr>
        <w:t>If Ng is not provided it is assumed to be 0</w:t>
      </w:r>
    </w:p>
    <w:p w14:paraId="7E0F22CD" w14:textId="77777777" w:rsidR="00D309FF" w:rsidRPr="00D309FF" w:rsidRDefault="00D309FF" w:rsidP="00D309FF">
      <w:pPr>
        <w:overflowPunct/>
        <w:autoSpaceDE/>
        <w:autoSpaceDN/>
        <w:adjustRightInd/>
        <w:spacing w:before="60" w:after="60" w:line="288" w:lineRule="auto"/>
        <w:ind w:left="568"/>
        <w:textAlignment w:val="auto"/>
        <w:rPr>
          <w:lang w:val="en-US"/>
        </w:rPr>
      </w:pPr>
      <w:r w:rsidRPr="00D309FF">
        <w:rPr>
          <w:lang w:val="en-US"/>
        </w:rPr>
        <w:t>NOTE: this agreement does not introduce any performance requirement on IAB nodes.</w:t>
      </w:r>
    </w:p>
    <w:p w14:paraId="6BD7CE0D" w14:textId="069E8BD4" w:rsidR="00D309FF" w:rsidRDefault="00D309FF" w:rsidP="001D6F67">
      <w:pPr>
        <w:rPr>
          <w:b/>
          <w:bCs/>
          <w:lang w:val="en-US"/>
        </w:rPr>
      </w:pPr>
    </w:p>
    <w:p w14:paraId="0939E28D" w14:textId="77777777" w:rsidR="00D309FF" w:rsidRPr="00D309FF" w:rsidRDefault="00D309FF" w:rsidP="00D309FF">
      <w:pPr>
        <w:ind w:left="568"/>
        <w:rPr>
          <w:lang w:eastAsia="x-none"/>
        </w:rPr>
      </w:pPr>
      <w:r w:rsidRPr="00D309FF">
        <w:rPr>
          <w:lang w:eastAsia="x-none"/>
        </w:rPr>
        <w:t>Agreements:</w:t>
      </w:r>
      <w:r w:rsidRPr="00D309FF">
        <w:rPr>
          <w:bCs/>
          <w:lang w:eastAsia="x-none"/>
        </w:rPr>
        <w:t xml:space="preserve"> (RAN1 #99 Reno)</w:t>
      </w:r>
    </w:p>
    <w:p w14:paraId="0CB4F2BF" w14:textId="77777777" w:rsidR="00D309FF" w:rsidRPr="00D309FF" w:rsidRDefault="00D309FF" w:rsidP="00D309FF">
      <w:pPr>
        <w:ind w:left="568"/>
        <w:rPr>
          <w:bCs/>
        </w:rPr>
      </w:pPr>
      <w:r w:rsidRPr="00D309FF">
        <w:rPr>
          <w:bCs/>
          <w:i/>
          <w:iCs/>
        </w:rPr>
        <w:t xml:space="preserve">Desired Guard </w:t>
      </w:r>
      <w:r w:rsidRPr="00D309FF">
        <w:rPr>
          <w:bCs/>
        </w:rPr>
        <w:t>Symbols and</w:t>
      </w:r>
      <w:r w:rsidRPr="00D309FF">
        <w:rPr>
          <w:bCs/>
          <w:i/>
          <w:iCs/>
        </w:rPr>
        <w:t xml:space="preserve"> Provided Guard Symbols </w:t>
      </w:r>
      <w:r w:rsidRPr="00D309FF">
        <w:rPr>
          <w:bCs/>
        </w:rPr>
        <w:t>are provided per cell and use 3 bits for each of the 8 transitions to indicate the number of guard symbols.</w:t>
      </w:r>
    </w:p>
    <w:p w14:paraId="14D153B8" w14:textId="77777777" w:rsidR="00D309FF" w:rsidRPr="00D309FF" w:rsidRDefault="00D309FF" w:rsidP="00D309FF">
      <w:pPr>
        <w:pStyle w:val="ListParagraph"/>
        <w:numPr>
          <w:ilvl w:val="0"/>
          <w:numId w:val="15"/>
        </w:numPr>
        <w:overflowPunct/>
        <w:autoSpaceDE/>
        <w:autoSpaceDN/>
        <w:adjustRightInd/>
        <w:spacing w:after="0"/>
        <w:ind w:left="1288"/>
        <w:textAlignment w:val="auto"/>
        <w:rPr>
          <w:bCs/>
        </w:rPr>
      </w:pPr>
      <w:r w:rsidRPr="00D309FF">
        <w:rPr>
          <w:bCs/>
        </w:rPr>
        <w:t>In Rel-16, a range of 0-4 symbols are supported for each transition. Additional entries are reserved for future use</w:t>
      </w:r>
    </w:p>
    <w:p w14:paraId="3D857483" w14:textId="77777777" w:rsidR="00D309FF" w:rsidRPr="00D309FF" w:rsidRDefault="00D309FF" w:rsidP="00D309FF">
      <w:pPr>
        <w:pStyle w:val="ListParagraph"/>
        <w:numPr>
          <w:ilvl w:val="0"/>
          <w:numId w:val="15"/>
        </w:numPr>
        <w:overflowPunct/>
        <w:autoSpaceDE/>
        <w:autoSpaceDN/>
        <w:adjustRightInd/>
        <w:spacing w:after="0"/>
        <w:ind w:left="1288"/>
        <w:textAlignment w:val="auto"/>
        <w:rPr>
          <w:bCs/>
        </w:rPr>
      </w:pPr>
      <w:r w:rsidRPr="00D309FF">
        <w:rPr>
          <w:bCs/>
        </w:rPr>
        <w:t xml:space="preserve">A new parameter </w:t>
      </w:r>
      <w:r w:rsidRPr="00D309FF">
        <w:rPr>
          <w:bCs/>
          <w:i/>
          <w:iCs/>
        </w:rPr>
        <w:t>GuardSymbol-SCS</w:t>
      </w:r>
      <w:r w:rsidRPr="00D309FF">
        <w:rPr>
          <w:bCs/>
        </w:rPr>
        <w:t xml:space="preserve"> is also provided which indicates the reference SCS (FR1: {15kHz, 30kHz, 60kHz}, FR2: {60kHz, 120kHz}) to be used for the guard symbols.</w:t>
      </w:r>
    </w:p>
    <w:p w14:paraId="0B66FE63" w14:textId="77777777" w:rsidR="00D309FF" w:rsidRPr="00D309FF" w:rsidRDefault="00D309FF" w:rsidP="001D6F67">
      <w:pPr>
        <w:rPr>
          <w:b/>
          <w:bCs/>
        </w:rPr>
      </w:pPr>
    </w:p>
    <w:p w14:paraId="3156A24D" w14:textId="2A31A5B4" w:rsidR="0073601D" w:rsidRDefault="00D309FF" w:rsidP="00E32CD3">
      <w:r>
        <w:lastRenderedPageBreak/>
        <w:t>Based on the RAN1 agreements there already seems to be a framework in place for the switching time. IAB-Node can signal to its parent that it needs additional time for the switching and in rel-16 the range can span from 0 to 4 symbols. Therefore, it is possible to report also that no additional switching time is needed.</w:t>
      </w:r>
    </w:p>
    <w:p w14:paraId="4DAEC2F5" w14:textId="72BEE9C4" w:rsidR="00D309FF" w:rsidRDefault="00D309FF" w:rsidP="00E32CD3">
      <w:pPr>
        <w:rPr>
          <w:b/>
          <w:bCs/>
        </w:rPr>
      </w:pPr>
      <w:r w:rsidRPr="008911BD">
        <w:rPr>
          <w:b/>
          <w:bCs/>
        </w:rPr>
        <w:t xml:space="preserve">Observation 1: </w:t>
      </w:r>
      <w:r>
        <w:rPr>
          <w:b/>
          <w:bCs/>
        </w:rPr>
        <w:t>RAN1 has developed a framework on how the switching time between MT and DU can vary and how it is reported to the parent node.</w:t>
      </w:r>
    </w:p>
    <w:p w14:paraId="211AFF16" w14:textId="74497059" w:rsidR="00D309FF" w:rsidRDefault="00D309FF" w:rsidP="00E32CD3">
      <w:r>
        <w:t>Given the RAN1 framework the definition of minimum requirements become rather complicated. It is unclear whether the minimum requirement should be based on the value IAB-Node is reporting, and RAN4 should only define tolerances on top of the reported switching time.</w:t>
      </w:r>
      <w:r w:rsidR="00CF183D">
        <w:t xml:space="preserve"> Also according the RAN1 framework different transitions can have different lengths, further complicating the definition of minimum requirements. While out of RAN1 responsibilities, it has been also noted in RAN1 agreement that their intention has been not the introduce any switching time performance requirements for IAB nodes.</w:t>
      </w:r>
    </w:p>
    <w:p w14:paraId="4067EA36" w14:textId="7A0C9947" w:rsidR="00CF183D" w:rsidRDefault="00CF183D" w:rsidP="00E32CD3">
      <w:r>
        <w:t xml:space="preserve">Therefore, it seems that the possible need for minimum requirements for switching time is effectively solved by RAN1 agreements. It is proposed not to specify minimum requirements for the switching. </w:t>
      </w:r>
    </w:p>
    <w:p w14:paraId="38B3962E" w14:textId="516ED14F" w:rsidR="00D309FF" w:rsidRPr="00CF183D" w:rsidRDefault="00CF183D" w:rsidP="00E32CD3">
      <w:pPr>
        <w:rPr>
          <w:b/>
          <w:bCs/>
        </w:rPr>
      </w:pPr>
      <w:r w:rsidRPr="00CF183D">
        <w:rPr>
          <w:b/>
          <w:bCs/>
        </w:rPr>
        <w:t xml:space="preserve">Proposal 1: </w:t>
      </w:r>
      <w:r>
        <w:rPr>
          <w:b/>
          <w:bCs/>
        </w:rPr>
        <w:t>Minimum requirements shall not be specified for switching time between IAB-MT and IAB-DU.</w:t>
      </w:r>
    </w:p>
    <w:p w14:paraId="52782008" w14:textId="77777777" w:rsidR="00F32200" w:rsidRDefault="00F32200" w:rsidP="00F32200">
      <w:pPr>
        <w:pStyle w:val="Heading1"/>
      </w:pPr>
      <w:r>
        <w:t>3</w:t>
      </w:r>
      <w:r>
        <w:tab/>
        <w:t>Conclusion</w:t>
      </w:r>
    </w:p>
    <w:p w14:paraId="6E73A8FB" w14:textId="6CBF1E81" w:rsidR="0056035D" w:rsidRDefault="0056035D" w:rsidP="00537362">
      <w:r>
        <w:t xml:space="preserve">In this contribution </w:t>
      </w:r>
      <w:r w:rsidR="0073601D">
        <w:t xml:space="preserve">IAB-Node </w:t>
      </w:r>
      <w:r w:rsidR="00CF183D">
        <w:t>switching time between IAB-MT and IAB-DU was discussed</w:t>
      </w:r>
      <w:r>
        <w:t xml:space="preserve">. </w:t>
      </w:r>
      <w:r w:rsidR="00DA21EC">
        <w:t xml:space="preserve">Based on the </w:t>
      </w:r>
      <w:r w:rsidR="0073601D">
        <w:t>analysis</w:t>
      </w:r>
      <w:r w:rsidR="00DA21EC">
        <w:t xml:space="preserve"> and related discussion the following observation</w:t>
      </w:r>
      <w:r w:rsidR="0073601D">
        <w:t>s</w:t>
      </w:r>
      <w:r w:rsidR="00DA21EC">
        <w:t xml:space="preserve"> and proposals were made.</w:t>
      </w:r>
    </w:p>
    <w:p w14:paraId="07917840" w14:textId="77777777" w:rsidR="00D309FF" w:rsidRPr="00D309FF" w:rsidRDefault="00D309FF" w:rsidP="00D309FF">
      <w:pPr>
        <w:rPr>
          <w:b/>
          <w:bCs/>
        </w:rPr>
      </w:pPr>
      <w:r w:rsidRPr="008911BD">
        <w:rPr>
          <w:b/>
          <w:bCs/>
        </w:rPr>
        <w:t xml:space="preserve">Observation 1: </w:t>
      </w:r>
      <w:r>
        <w:rPr>
          <w:b/>
          <w:bCs/>
        </w:rPr>
        <w:t>RAN1 has developed a framework on how the switching time between MT and DU can vary and how it is reported to the parent node.</w:t>
      </w:r>
    </w:p>
    <w:p w14:paraId="684B36C8" w14:textId="10FA605C" w:rsidR="0073601D" w:rsidRDefault="00CF183D" w:rsidP="0073601D">
      <w:pPr>
        <w:rPr>
          <w:b/>
          <w:bCs/>
        </w:rPr>
      </w:pPr>
      <w:r w:rsidRPr="00CF183D">
        <w:rPr>
          <w:b/>
          <w:bCs/>
        </w:rPr>
        <w:t xml:space="preserve">Proposal 1: </w:t>
      </w:r>
      <w:r>
        <w:rPr>
          <w:b/>
          <w:bCs/>
        </w:rPr>
        <w:t>Minimum requirements shall not be specified for switching time between IAB-MT and IAB-DU.</w:t>
      </w:r>
    </w:p>
    <w:p w14:paraId="55B204E9" w14:textId="77777777" w:rsidR="0057669F" w:rsidRDefault="0057669F" w:rsidP="0057669F">
      <w:pPr>
        <w:pStyle w:val="Heading1"/>
      </w:pPr>
      <w:r>
        <w:t>4</w:t>
      </w:r>
      <w:r>
        <w:tab/>
        <w:t>Reference</w:t>
      </w:r>
      <w:r w:rsidR="0035582C">
        <w:t>s</w:t>
      </w:r>
    </w:p>
    <w:p w14:paraId="1809FABE" w14:textId="05350FEB" w:rsidR="00F47649" w:rsidRPr="00C14230" w:rsidRDefault="00F47649" w:rsidP="006C16B3">
      <w:pPr>
        <w:ind w:left="567" w:hanging="567"/>
      </w:pPr>
      <w:r>
        <w:t>[</w:t>
      </w:r>
      <w:r w:rsidR="00363800">
        <w:t>1</w:t>
      </w:r>
      <w:r>
        <w:t>]</w:t>
      </w:r>
      <w:r>
        <w:tab/>
        <w:t>R4-19</w:t>
      </w:r>
      <w:r w:rsidR="001779BE">
        <w:t>16</w:t>
      </w:r>
      <w:r w:rsidR="001D6F67">
        <w:t>004</w:t>
      </w:r>
      <w:r w:rsidR="001779BE">
        <w:t xml:space="preserve"> </w:t>
      </w:r>
      <w:r w:rsidR="001D6F67">
        <w:t>WF on switching time for IAB</w:t>
      </w:r>
      <w:r w:rsidR="001779BE">
        <w:t>, Qualcomm incorporated</w:t>
      </w:r>
      <w:r>
        <w:t>.</w:t>
      </w:r>
    </w:p>
    <w:p w14:paraId="09893C7A" w14:textId="77777777" w:rsidR="001D6F67" w:rsidRDefault="001D6F67" w:rsidP="000450CB">
      <w:pPr>
        <w:ind w:left="567" w:hanging="567"/>
        <w:rPr>
          <w:lang w:val="en-US"/>
        </w:rPr>
      </w:pPr>
    </w:p>
    <w:p w14:paraId="5CE19DDF" w14:textId="77777777" w:rsidR="00115068" w:rsidRPr="00DA21EC" w:rsidRDefault="00115068" w:rsidP="00CF183D">
      <w:pPr>
        <w:rPr>
          <w:color w:val="FF0000"/>
          <w:sz w:val="28"/>
          <w:lang w:val="en-US"/>
        </w:rPr>
      </w:pPr>
    </w:p>
    <w:sectPr w:rsidR="00115068" w:rsidRPr="00DA21EC" w:rsidSect="00F3220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13511" w14:textId="77777777" w:rsidR="00B6278B" w:rsidRDefault="00B6278B" w:rsidP="002B3503">
      <w:pPr>
        <w:spacing w:after="0"/>
      </w:pPr>
      <w:r>
        <w:separator/>
      </w:r>
    </w:p>
  </w:endnote>
  <w:endnote w:type="continuationSeparator" w:id="0">
    <w:p w14:paraId="29A59061" w14:textId="77777777" w:rsidR="00B6278B" w:rsidRDefault="00B6278B"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41A9F" w14:textId="77777777" w:rsidR="006A21E1" w:rsidRDefault="006A2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C594D" w14:textId="77777777" w:rsidR="006A21E1" w:rsidRDefault="006A2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897A5" w14:textId="77777777" w:rsidR="006A21E1" w:rsidRDefault="006A2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B48A3" w14:textId="77777777" w:rsidR="00B6278B" w:rsidRDefault="00B6278B" w:rsidP="002B3503">
      <w:pPr>
        <w:spacing w:after="0"/>
      </w:pPr>
      <w:r>
        <w:separator/>
      </w:r>
    </w:p>
  </w:footnote>
  <w:footnote w:type="continuationSeparator" w:id="0">
    <w:p w14:paraId="2E3C3667" w14:textId="77777777" w:rsidR="00B6278B" w:rsidRDefault="00B6278B"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87148" w14:textId="77777777" w:rsidR="006A21E1" w:rsidRDefault="006A2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BF74" w14:textId="77777777" w:rsidR="006A21E1" w:rsidRDefault="006A2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2"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3FC36C1"/>
    <w:multiLevelType w:val="hybridMultilevel"/>
    <w:tmpl w:val="E0E8A502"/>
    <w:lvl w:ilvl="0" w:tplc="22EE7B10">
      <w:start w:val="6"/>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3"/>
  </w:num>
  <w:num w:numId="2">
    <w:abstractNumId w:val="13"/>
  </w:num>
  <w:num w:numId="3">
    <w:abstractNumId w:val="6"/>
  </w:num>
  <w:num w:numId="4">
    <w:abstractNumId w:val="10"/>
  </w:num>
  <w:num w:numId="5">
    <w:abstractNumId w:val="11"/>
  </w:num>
  <w:num w:numId="6">
    <w:abstractNumId w:val="12"/>
  </w:num>
  <w:num w:numId="7">
    <w:abstractNumId w:val="5"/>
  </w:num>
  <w:num w:numId="8">
    <w:abstractNumId w:val="2"/>
  </w:num>
  <w:num w:numId="9">
    <w:abstractNumId w:val="0"/>
  </w:num>
  <w:num w:numId="10">
    <w:abstractNumId w:val="7"/>
  </w:num>
  <w:num w:numId="11">
    <w:abstractNumId w:val="14"/>
  </w:num>
  <w:num w:numId="12">
    <w:abstractNumId w:val="1"/>
  </w:num>
  <w:num w:numId="13">
    <w:abstractNumId w:val="4"/>
  </w:num>
  <w:num w:numId="14">
    <w:abstractNumId w:val="9"/>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566F"/>
    <w:rsid w:val="00016F62"/>
    <w:rsid w:val="00017F18"/>
    <w:rsid w:val="000450CB"/>
    <w:rsid w:val="00046F81"/>
    <w:rsid w:val="00051A7D"/>
    <w:rsid w:val="000832DA"/>
    <w:rsid w:val="00091F0B"/>
    <w:rsid w:val="000943A9"/>
    <w:rsid w:val="000A4A61"/>
    <w:rsid w:val="000A5C0F"/>
    <w:rsid w:val="000A6473"/>
    <w:rsid w:val="000A7F46"/>
    <w:rsid w:val="000B4E56"/>
    <w:rsid w:val="000B5E8E"/>
    <w:rsid w:val="000C07E1"/>
    <w:rsid w:val="000D0627"/>
    <w:rsid w:val="000D5C67"/>
    <w:rsid w:val="000D6C3A"/>
    <w:rsid w:val="000E18EC"/>
    <w:rsid w:val="000E41E5"/>
    <w:rsid w:val="000F2546"/>
    <w:rsid w:val="00101626"/>
    <w:rsid w:val="00101848"/>
    <w:rsid w:val="00113312"/>
    <w:rsid w:val="00115068"/>
    <w:rsid w:val="00132FF9"/>
    <w:rsid w:val="001364A1"/>
    <w:rsid w:val="0015000E"/>
    <w:rsid w:val="00155F2D"/>
    <w:rsid w:val="0016131F"/>
    <w:rsid w:val="00162795"/>
    <w:rsid w:val="00164A53"/>
    <w:rsid w:val="001779BE"/>
    <w:rsid w:val="0018022D"/>
    <w:rsid w:val="001B180D"/>
    <w:rsid w:val="001B46BB"/>
    <w:rsid w:val="001B494A"/>
    <w:rsid w:val="001C3296"/>
    <w:rsid w:val="001D4627"/>
    <w:rsid w:val="001D6F67"/>
    <w:rsid w:val="001E542E"/>
    <w:rsid w:val="00205BA4"/>
    <w:rsid w:val="00210C9E"/>
    <w:rsid w:val="002127E2"/>
    <w:rsid w:val="00213D17"/>
    <w:rsid w:val="00214C87"/>
    <w:rsid w:val="00215035"/>
    <w:rsid w:val="002202BE"/>
    <w:rsid w:val="00222ADE"/>
    <w:rsid w:val="00230B20"/>
    <w:rsid w:val="0023444F"/>
    <w:rsid w:val="00237779"/>
    <w:rsid w:val="00237803"/>
    <w:rsid w:val="00263B3D"/>
    <w:rsid w:val="002640C9"/>
    <w:rsid w:val="00264D5C"/>
    <w:rsid w:val="00264F78"/>
    <w:rsid w:val="002725A3"/>
    <w:rsid w:val="00277EE7"/>
    <w:rsid w:val="00285189"/>
    <w:rsid w:val="00285EBA"/>
    <w:rsid w:val="00291DDD"/>
    <w:rsid w:val="002A7181"/>
    <w:rsid w:val="002B3503"/>
    <w:rsid w:val="002B3F6F"/>
    <w:rsid w:val="002C1641"/>
    <w:rsid w:val="002C1C70"/>
    <w:rsid w:val="002D2721"/>
    <w:rsid w:val="002D6A65"/>
    <w:rsid w:val="002F0018"/>
    <w:rsid w:val="002F139F"/>
    <w:rsid w:val="002F6A38"/>
    <w:rsid w:val="00311ABA"/>
    <w:rsid w:val="003174F7"/>
    <w:rsid w:val="00317C62"/>
    <w:rsid w:val="00331CE4"/>
    <w:rsid w:val="00342D3D"/>
    <w:rsid w:val="00347DEA"/>
    <w:rsid w:val="00350DA9"/>
    <w:rsid w:val="00351332"/>
    <w:rsid w:val="0035582C"/>
    <w:rsid w:val="003613B8"/>
    <w:rsid w:val="00363074"/>
    <w:rsid w:val="00363800"/>
    <w:rsid w:val="00371259"/>
    <w:rsid w:val="00376110"/>
    <w:rsid w:val="003777FE"/>
    <w:rsid w:val="003879A9"/>
    <w:rsid w:val="003A1BF2"/>
    <w:rsid w:val="003A7CA9"/>
    <w:rsid w:val="003C3016"/>
    <w:rsid w:val="003D3111"/>
    <w:rsid w:val="003D5813"/>
    <w:rsid w:val="003E36C3"/>
    <w:rsid w:val="003F0CBC"/>
    <w:rsid w:val="003F1982"/>
    <w:rsid w:val="004035FC"/>
    <w:rsid w:val="00404C40"/>
    <w:rsid w:val="00405E3D"/>
    <w:rsid w:val="00420E2F"/>
    <w:rsid w:val="0042109F"/>
    <w:rsid w:val="00427F57"/>
    <w:rsid w:val="0043450E"/>
    <w:rsid w:val="0045082D"/>
    <w:rsid w:val="004533DE"/>
    <w:rsid w:val="00453BA5"/>
    <w:rsid w:val="00454E53"/>
    <w:rsid w:val="004754A1"/>
    <w:rsid w:val="00482477"/>
    <w:rsid w:val="00482BAF"/>
    <w:rsid w:val="00484762"/>
    <w:rsid w:val="00491386"/>
    <w:rsid w:val="00494F18"/>
    <w:rsid w:val="00496414"/>
    <w:rsid w:val="004A41DA"/>
    <w:rsid w:val="004A47DD"/>
    <w:rsid w:val="004A51BA"/>
    <w:rsid w:val="004C0103"/>
    <w:rsid w:val="004C4473"/>
    <w:rsid w:val="004C58F9"/>
    <w:rsid w:val="004D0C67"/>
    <w:rsid w:val="004D36A5"/>
    <w:rsid w:val="004D3D81"/>
    <w:rsid w:val="004D4354"/>
    <w:rsid w:val="005001B2"/>
    <w:rsid w:val="00507108"/>
    <w:rsid w:val="00512C65"/>
    <w:rsid w:val="00522412"/>
    <w:rsid w:val="00527349"/>
    <w:rsid w:val="00527B86"/>
    <w:rsid w:val="00527D3E"/>
    <w:rsid w:val="005304C6"/>
    <w:rsid w:val="00530929"/>
    <w:rsid w:val="00537362"/>
    <w:rsid w:val="00541E71"/>
    <w:rsid w:val="00542EA4"/>
    <w:rsid w:val="00544A0E"/>
    <w:rsid w:val="00544EA7"/>
    <w:rsid w:val="005472C5"/>
    <w:rsid w:val="00551BD8"/>
    <w:rsid w:val="0056035D"/>
    <w:rsid w:val="00560A63"/>
    <w:rsid w:val="00561673"/>
    <w:rsid w:val="00564B2E"/>
    <w:rsid w:val="00566191"/>
    <w:rsid w:val="00570B14"/>
    <w:rsid w:val="0057669F"/>
    <w:rsid w:val="005A08FD"/>
    <w:rsid w:val="005A3D67"/>
    <w:rsid w:val="005B2640"/>
    <w:rsid w:val="005C2EB7"/>
    <w:rsid w:val="005C3C47"/>
    <w:rsid w:val="005D0E70"/>
    <w:rsid w:val="005D0FDB"/>
    <w:rsid w:val="005D7B06"/>
    <w:rsid w:val="005E49A2"/>
    <w:rsid w:val="005F1F1C"/>
    <w:rsid w:val="005F6CE3"/>
    <w:rsid w:val="00602EB6"/>
    <w:rsid w:val="0060382B"/>
    <w:rsid w:val="006168C2"/>
    <w:rsid w:val="006235B4"/>
    <w:rsid w:val="00630341"/>
    <w:rsid w:val="00641C2E"/>
    <w:rsid w:val="00654B03"/>
    <w:rsid w:val="00663E30"/>
    <w:rsid w:val="00666120"/>
    <w:rsid w:val="00673969"/>
    <w:rsid w:val="006750A5"/>
    <w:rsid w:val="00680997"/>
    <w:rsid w:val="00692D32"/>
    <w:rsid w:val="00695026"/>
    <w:rsid w:val="006A21E1"/>
    <w:rsid w:val="006A6876"/>
    <w:rsid w:val="006B720B"/>
    <w:rsid w:val="006C16B3"/>
    <w:rsid w:val="006C6840"/>
    <w:rsid w:val="006C7482"/>
    <w:rsid w:val="006E3462"/>
    <w:rsid w:val="006F1B82"/>
    <w:rsid w:val="006F651D"/>
    <w:rsid w:val="00701131"/>
    <w:rsid w:val="0070573A"/>
    <w:rsid w:val="00710301"/>
    <w:rsid w:val="007120DD"/>
    <w:rsid w:val="00720AFB"/>
    <w:rsid w:val="00721417"/>
    <w:rsid w:val="00722ED4"/>
    <w:rsid w:val="00724CD9"/>
    <w:rsid w:val="00726265"/>
    <w:rsid w:val="00734EBD"/>
    <w:rsid w:val="0073601D"/>
    <w:rsid w:val="00742892"/>
    <w:rsid w:val="00745010"/>
    <w:rsid w:val="00747246"/>
    <w:rsid w:val="00753982"/>
    <w:rsid w:val="00763E62"/>
    <w:rsid w:val="00770296"/>
    <w:rsid w:val="00782875"/>
    <w:rsid w:val="007A09DC"/>
    <w:rsid w:val="007A12F4"/>
    <w:rsid w:val="007A23DA"/>
    <w:rsid w:val="007C0429"/>
    <w:rsid w:val="007D20DF"/>
    <w:rsid w:val="007E79BE"/>
    <w:rsid w:val="007F7547"/>
    <w:rsid w:val="00801CCB"/>
    <w:rsid w:val="008236E4"/>
    <w:rsid w:val="0084176E"/>
    <w:rsid w:val="00845E2E"/>
    <w:rsid w:val="00847F20"/>
    <w:rsid w:val="00850296"/>
    <w:rsid w:val="00853EC3"/>
    <w:rsid w:val="00866BF1"/>
    <w:rsid w:val="00870635"/>
    <w:rsid w:val="00874DB0"/>
    <w:rsid w:val="008771F4"/>
    <w:rsid w:val="008911BD"/>
    <w:rsid w:val="008922F9"/>
    <w:rsid w:val="00895ABC"/>
    <w:rsid w:val="0089736D"/>
    <w:rsid w:val="008A43C6"/>
    <w:rsid w:val="008A4493"/>
    <w:rsid w:val="008A5AE8"/>
    <w:rsid w:val="008B5F74"/>
    <w:rsid w:val="008D39F0"/>
    <w:rsid w:val="008D6E47"/>
    <w:rsid w:val="008F311C"/>
    <w:rsid w:val="008F463D"/>
    <w:rsid w:val="008F530E"/>
    <w:rsid w:val="009050E8"/>
    <w:rsid w:val="00906259"/>
    <w:rsid w:val="0091383D"/>
    <w:rsid w:val="00932D74"/>
    <w:rsid w:val="009351C4"/>
    <w:rsid w:val="00937974"/>
    <w:rsid w:val="00940559"/>
    <w:rsid w:val="00943634"/>
    <w:rsid w:val="0096038C"/>
    <w:rsid w:val="009662F1"/>
    <w:rsid w:val="009674D4"/>
    <w:rsid w:val="00977A17"/>
    <w:rsid w:val="00982464"/>
    <w:rsid w:val="00983C8F"/>
    <w:rsid w:val="0098619A"/>
    <w:rsid w:val="00996062"/>
    <w:rsid w:val="009A3979"/>
    <w:rsid w:val="009A6A8B"/>
    <w:rsid w:val="009A70AA"/>
    <w:rsid w:val="009B1E68"/>
    <w:rsid w:val="009B7379"/>
    <w:rsid w:val="009E3B23"/>
    <w:rsid w:val="00A067D5"/>
    <w:rsid w:val="00A10A2C"/>
    <w:rsid w:val="00A10B1E"/>
    <w:rsid w:val="00A14642"/>
    <w:rsid w:val="00A15DC7"/>
    <w:rsid w:val="00A15FBF"/>
    <w:rsid w:val="00A2395F"/>
    <w:rsid w:val="00A30758"/>
    <w:rsid w:val="00A30C91"/>
    <w:rsid w:val="00A35998"/>
    <w:rsid w:val="00A451E8"/>
    <w:rsid w:val="00A466BF"/>
    <w:rsid w:val="00A47C8B"/>
    <w:rsid w:val="00A508FF"/>
    <w:rsid w:val="00A52A3B"/>
    <w:rsid w:val="00A52B69"/>
    <w:rsid w:val="00A6018C"/>
    <w:rsid w:val="00A64564"/>
    <w:rsid w:val="00A64DE7"/>
    <w:rsid w:val="00A708BD"/>
    <w:rsid w:val="00A8390A"/>
    <w:rsid w:val="00A96A12"/>
    <w:rsid w:val="00A97C2D"/>
    <w:rsid w:val="00AB5402"/>
    <w:rsid w:val="00AC6D7C"/>
    <w:rsid w:val="00AD0C29"/>
    <w:rsid w:val="00AD15D4"/>
    <w:rsid w:val="00AD71AD"/>
    <w:rsid w:val="00AE6327"/>
    <w:rsid w:val="00AF14A0"/>
    <w:rsid w:val="00B1541B"/>
    <w:rsid w:val="00B172CC"/>
    <w:rsid w:val="00B31BAE"/>
    <w:rsid w:val="00B4385F"/>
    <w:rsid w:val="00B6278B"/>
    <w:rsid w:val="00B638DE"/>
    <w:rsid w:val="00B6504C"/>
    <w:rsid w:val="00B65B59"/>
    <w:rsid w:val="00B841C3"/>
    <w:rsid w:val="00BA3DB3"/>
    <w:rsid w:val="00BC764C"/>
    <w:rsid w:val="00BD0FF7"/>
    <w:rsid w:val="00BD3170"/>
    <w:rsid w:val="00BE140C"/>
    <w:rsid w:val="00BE1BA0"/>
    <w:rsid w:val="00BE5FB6"/>
    <w:rsid w:val="00BF4B17"/>
    <w:rsid w:val="00C14230"/>
    <w:rsid w:val="00C21554"/>
    <w:rsid w:val="00C24C90"/>
    <w:rsid w:val="00C24D31"/>
    <w:rsid w:val="00C33434"/>
    <w:rsid w:val="00C55B96"/>
    <w:rsid w:val="00C57BDA"/>
    <w:rsid w:val="00C6627F"/>
    <w:rsid w:val="00C944DE"/>
    <w:rsid w:val="00CA5455"/>
    <w:rsid w:val="00CB1708"/>
    <w:rsid w:val="00CB69B3"/>
    <w:rsid w:val="00CB7240"/>
    <w:rsid w:val="00CB768E"/>
    <w:rsid w:val="00CC3529"/>
    <w:rsid w:val="00CD4FAF"/>
    <w:rsid w:val="00CE6171"/>
    <w:rsid w:val="00CF183D"/>
    <w:rsid w:val="00CF249F"/>
    <w:rsid w:val="00CF4657"/>
    <w:rsid w:val="00D16EA7"/>
    <w:rsid w:val="00D23C06"/>
    <w:rsid w:val="00D26459"/>
    <w:rsid w:val="00D275CC"/>
    <w:rsid w:val="00D309FF"/>
    <w:rsid w:val="00D355D3"/>
    <w:rsid w:val="00D54EAA"/>
    <w:rsid w:val="00D5669A"/>
    <w:rsid w:val="00D60812"/>
    <w:rsid w:val="00D62DCA"/>
    <w:rsid w:val="00D767C4"/>
    <w:rsid w:val="00D77CF5"/>
    <w:rsid w:val="00D81CF3"/>
    <w:rsid w:val="00D83D0F"/>
    <w:rsid w:val="00D848CC"/>
    <w:rsid w:val="00D8686A"/>
    <w:rsid w:val="00D86BF8"/>
    <w:rsid w:val="00D903D5"/>
    <w:rsid w:val="00D944B1"/>
    <w:rsid w:val="00D95179"/>
    <w:rsid w:val="00DA21EC"/>
    <w:rsid w:val="00DB3EC2"/>
    <w:rsid w:val="00DB5AD3"/>
    <w:rsid w:val="00DB78B8"/>
    <w:rsid w:val="00DC7584"/>
    <w:rsid w:val="00DD43B9"/>
    <w:rsid w:val="00DD6BAA"/>
    <w:rsid w:val="00DF018A"/>
    <w:rsid w:val="00DF0C0A"/>
    <w:rsid w:val="00DF16F5"/>
    <w:rsid w:val="00DF7627"/>
    <w:rsid w:val="00E00F64"/>
    <w:rsid w:val="00E010A0"/>
    <w:rsid w:val="00E01EBB"/>
    <w:rsid w:val="00E02AD5"/>
    <w:rsid w:val="00E11B6F"/>
    <w:rsid w:val="00E13DFA"/>
    <w:rsid w:val="00E21F51"/>
    <w:rsid w:val="00E2604B"/>
    <w:rsid w:val="00E3148E"/>
    <w:rsid w:val="00E32CD3"/>
    <w:rsid w:val="00E33B68"/>
    <w:rsid w:val="00E46CA7"/>
    <w:rsid w:val="00E56A42"/>
    <w:rsid w:val="00E62063"/>
    <w:rsid w:val="00E62B4E"/>
    <w:rsid w:val="00E90BCB"/>
    <w:rsid w:val="00E962C5"/>
    <w:rsid w:val="00EA3488"/>
    <w:rsid w:val="00EB5F7D"/>
    <w:rsid w:val="00EC589F"/>
    <w:rsid w:val="00EF103D"/>
    <w:rsid w:val="00EF4045"/>
    <w:rsid w:val="00EF6304"/>
    <w:rsid w:val="00F03666"/>
    <w:rsid w:val="00F173C9"/>
    <w:rsid w:val="00F26C2D"/>
    <w:rsid w:val="00F32200"/>
    <w:rsid w:val="00F374CF"/>
    <w:rsid w:val="00F40AF9"/>
    <w:rsid w:val="00F47649"/>
    <w:rsid w:val="00F51367"/>
    <w:rsid w:val="00F65437"/>
    <w:rsid w:val="00F67501"/>
    <w:rsid w:val="00F8280F"/>
    <w:rsid w:val="00F82A23"/>
    <w:rsid w:val="00F832DE"/>
    <w:rsid w:val="00F855E2"/>
    <w:rsid w:val="00F95D75"/>
    <w:rsid w:val="00F96BF4"/>
    <w:rsid w:val="00F974FD"/>
    <w:rsid w:val="00F97D64"/>
    <w:rsid w:val="00FA111D"/>
    <w:rsid w:val="00FA2A7B"/>
    <w:rsid w:val="00FA66CB"/>
    <w:rsid w:val="00FB4E75"/>
    <w:rsid w:val="00FB7D23"/>
    <w:rsid w:val="00FC75E4"/>
    <w:rsid w:val="00FC7CFA"/>
    <w:rsid w:val="00FD085A"/>
    <w:rsid w:val="00FD543C"/>
    <w:rsid w:val="00FE384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0C79B409-EF8B-4CEC-977D-534A82A6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uiPriority w:val="99"/>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qFormat/>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qFormat/>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qFormat/>
    <w:rsid w:val="00C24C90"/>
    <w:rPr>
      <w:rFonts w:ascii="Arial" w:hAnsi="Arial"/>
      <w:b/>
      <w:lang w:val="en-GB" w:eastAsia="en-US"/>
    </w:rPr>
  </w:style>
  <w:style w:type="character" w:customStyle="1" w:styleId="TANChar">
    <w:name w:val="TAN Char"/>
    <w:link w:val="TAN"/>
    <w:qFormat/>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D30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412048343">
      <w:bodyDiv w:val="1"/>
      <w:marLeft w:val="0"/>
      <w:marRight w:val="0"/>
      <w:marTop w:val="0"/>
      <w:marBottom w:val="0"/>
      <w:divBdr>
        <w:top w:val="none" w:sz="0" w:space="0" w:color="auto"/>
        <w:left w:val="none" w:sz="0" w:space="0" w:color="auto"/>
        <w:bottom w:val="none" w:sz="0" w:space="0" w:color="auto"/>
        <w:right w:val="none" w:sz="0" w:space="0" w:color="auto"/>
      </w:divBdr>
    </w:div>
    <w:div w:id="427431456">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60137159">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5445647">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378898601">
      <w:bodyDiv w:val="1"/>
      <w:marLeft w:val="0"/>
      <w:marRight w:val="0"/>
      <w:marTop w:val="0"/>
      <w:marBottom w:val="0"/>
      <w:divBdr>
        <w:top w:val="none" w:sz="0" w:space="0" w:color="auto"/>
        <w:left w:val="none" w:sz="0" w:space="0" w:color="auto"/>
        <w:bottom w:val="none" w:sz="0" w:space="0" w:color="auto"/>
        <w:right w:val="none" w:sz="0" w:space="0" w:color="auto"/>
      </w:divBdr>
    </w:div>
    <w:div w:id="1547765201">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691641724">
      <w:bodyDiv w:val="1"/>
      <w:marLeft w:val="0"/>
      <w:marRight w:val="0"/>
      <w:marTop w:val="0"/>
      <w:marBottom w:val="0"/>
      <w:divBdr>
        <w:top w:val="none" w:sz="0" w:space="0" w:color="auto"/>
        <w:left w:val="none" w:sz="0" w:space="0" w:color="auto"/>
        <w:bottom w:val="none" w:sz="0" w:space="0" w:color="auto"/>
        <w:right w:val="none" w:sz="0" w:space="0" w:color="auto"/>
      </w:divBdr>
    </w:div>
    <w:div w:id="1767774010">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162536">
      <w:bodyDiv w:val="1"/>
      <w:marLeft w:val="0"/>
      <w:marRight w:val="0"/>
      <w:marTop w:val="0"/>
      <w:marBottom w:val="0"/>
      <w:divBdr>
        <w:top w:val="none" w:sz="0" w:space="0" w:color="auto"/>
        <w:left w:val="none" w:sz="0" w:space="0" w:color="auto"/>
        <w:bottom w:val="none" w:sz="0" w:space="0" w:color="auto"/>
        <w:right w:val="none" w:sz="0" w:space="0" w:color="auto"/>
      </w:divBdr>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EE38C-15C0-4622-8928-EB5B9D25E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1170</TotalTime>
  <Pages>2</Pages>
  <Words>418</Words>
  <Characters>3389</Characters>
  <Application>Microsoft Office Word</Application>
  <DocSecurity>0</DocSecurity>
  <Lines>28</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5</cp:revision>
  <cp:lastPrinted>1900-01-01T06:00:00Z</cp:lastPrinted>
  <dcterms:created xsi:type="dcterms:W3CDTF">2020-02-10T12:47:00Z</dcterms:created>
  <dcterms:modified xsi:type="dcterms:W3CDTF">2020-02-14T17:16:00Z</dcterms:modified>
</cp:coreProperties>
</file>